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E918" w14:textId="77777777" w:rsidR="008204BE" w:rsidRPr="008204BE" w:rsidRDefault="008204BE" w:rsidP="008204BE">
      <w:pPr>
        <w:jc w:val="center"/>
        <w:rPr>
          <w:b/>
          <w:bCs/>
        </w:rPr>
      </w:pPr>
      <w:r w:rsidRPr="008204BE">
        <w:rPr>
          <w:b/>
          <w:bCs/>
        </w:rPr>
        <w:t>ANNUAL DUTY OF CANDOUR REPORT</w:t>
      </w:r>
    </w:p>
    <w:p w14:paraId="585A0799" w14:textId="77777777" w:rsidR="008204BE" w:rsidRDefault="008204BE" w:rsidP="008204BE">
      <w:pPr>
        <w:jc w:val="center"/>
        <w:rPr>
          <w:b/>
          <w:bCs/>
        </w:rPr>
      </w:pPr>
      <w:r w:rsidRPr="008204BE">
        <w:rPr>
          <w:b/>
          <w:bCs/>
        </w:rPr>
        <w:t>2025–2026</w:t>
      </w:r>
    </w:p>
    <w:p w14:paraId="4EABA767" w14:textId="77777777" w:rsidR="008204BE" w:rsidRDefault="008204BE" w:rsidP="008204BE">
      <w:pPr>
        <w:jc w:val="center"/>
        <w:rPr>
          <w:b/>
          <w:bCs/>
        </w:rPr>
      </w:pPr>
    </w:p>
    <w:p w14:paraId="40D9A76A" w14:textId="77777777" w:rsidR="008204BE" w:rsidRDefault="008204BE" w:rsidP="008204BE">
      <w:pPr>
        <w:jc w:val="center"/>
        <w:rPr>
          <w:b/>
          <w:bCs/>
        </w:rPr>
      </w:pPr>
    </w:p>
    <w:p w14:paraId="3495778C" w14:textId="77777777" w:rsidR="00FF214F" w:rsidRPr="006A2C6F" w:rsidRDefault="00FF214F" w:rsidP="006A2C6F">
      <w:pPr>
        <w:rPr>
          <w:b/>
          <w:bCs/>
        </w:rPr>
      </w:pPr>
      <w:r w:rsidRPr="006A2C6F">
        <w:rPr>
          <w:b/>
          <w:bCs/>
        </w:rPr>
        <w:t>Organisational Duty of Candour</w:t>
      </w:r>
    </w:p>
    <w:p w14:paraId="651809ED" w14:textId="77777777" w:rsidR="00FF214F" w:rsidRPr="006A2C6F" w:rsidRDefault="00FF214F" w:rsidP="006A2C6F">
      <w:r w:rsidRPr="006A2C6F">
        <w:t>All health and social care services in Scotland have an organisational duty of candour. This is a legal requirement which means that when certain types of incidents happen, the people affected understand what has happened, receive an apology, and the organisation learns how to improve for the future.</w:t>
      </w:r>
    </w:p>
    <w:p w14:paraId="6641C1A8" w14:textId="77777777" w:rsidR="00FF214F" w:rsidRPr="006A2C6F" w:rsidRDefault="00FF214F" w:rsidP="006A2C6F">
      <w:r w:rsidRPr="006A2C6F">
        <w:t>An important part of this duty is that we provide an annual report about the organisational duty of candour in our services. This report describes how Randolph Hill Nursing Homes Group Limited has operated the organisational duty of candour during the period 1 April 2025 to 31 March 2026.</w:t>
      </w:r>
    </w:p>
    <w:p w14:paraId="03AF2DD7" w14:textId="77777777" w:rsidR="00FF214F" w:rsidRPr="006A2C6F" w:rsidRDefault="00FF214F" w:rsidP="006A2C6F">
      <w:pPr>
        <w:rPr>
          <w:b/>
          <w:bCs/>
        </w:rPr>
      </w:pPr>
      <w:r w:rsidRPr="006A2C6F">
        <w:rPr>
          <w:b/>
          <w:bCs/>
        </w:rPr>
        <w:t>How many incidents happened to which the organisational duty of candour applies?</w:t>
      </w:r>
    </w:p>
    <w:p w14:paraId="72002B82" w14:textId="77777777" w:rsidR="005B545E" w:rsidRPr="006A2C6F" w:rsidRDefault="005B545E" w:rsidP="006A2C6F">
      <w:pPr>
        <w:rPr>
          <w:b/>
          <w:bCs/>
        </w:rPr>
      </w:pPr>
    </w:p>
    <w:tbl>
      <w:tblPr>
        <w:tblStyle w:val="TableGrid"/>
        <w:tblW w:w="0" w:type="auto"/>
        <w:tblInd w:w="0" w:type="dxa"/>
        <w:tblLook w:val="04A0" w:firstRow="1" w:lastRow="0" w:firstColumn="1" w:lastColumn="0" w:noHBand="0" w:noVBand="1"/>
      </w:tblPr>
      <w:tblGrid>
        <w:gridCol w:w="4517"/>
        <w:gridCol w:w="4499"/>
      </w:tblGrid>
      <w:tr w:rsidR="005B545E" w:rsidRPr="006A2C6F" w14:paraId="57C69259"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321890B7" w14:textId="77777777" w:rsidR="005B545E" w:rsidRPr="006A2C6F" w:rsidRDefault="005B545E" w:rsidP="006A2C6F">
            <w:pPr>
              <w:pStyle w:val="Default"/>
              <w:rPr>
                <w:b/>
              </w:rPr>
            </w:pPr>
            <w:r w:rsidRPr="006A2C6F">
              <w:rPr>
                <w:b/>
              </w:rPr>
              <w:t>Type of incident</w:t>
            </w:r>
          </w:p>
        </w:tc>
        <w:tc>
          <w:tcPr>
            <w:tcW w:w="4621" w:type="dxa"/>
            <w:tcBorders>
              <w:top w:val="single" w:sz="4" w:space="0" w:color="auto"/>
              <w:left w:val="single" w:sz="4" w:space="0" w:color="auto"/>
              <w:bottom w:val="single" w:sz="4" w:space="0" w:color="auto"/>
              <w:right w:val="single" w:sz="4" w:space="0" w:color="auto"/>
            </w:tcBorders>
            <w:hideMark/>
          </w:tcPr>
          <w:p w14:paraId="737482B0" w14:textId="77777777" w:rsidR="005B545E" w:rsidRPr="006A2C6F" w:rsidRDefault="005B545E" w:rsidP="006A2C6F">
            <w:pPr>
              <w:pStyle w:val="Default"/>
              <w:rPr>
                <w:b/>
              </w:rPr>
            </w:pPr>
            <w:r w:rsidRPr="006A2C6F">
              <w:rPr>
                <w:b/>
              </w:rPr>
              <w:t>Number of times this has happened</w:t>
            </w:r>
          </w:p>
        </w:tc>
      </w:tr>
      <w:tr w:rsidR="005B545E" w:rsidRPr="006A2C6F" w14:paraId="086C3343"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77E93646" w14:textId="77777777" w:rsidR="005B545E" w:rsidRPr="006A2C6F" w:rsidRDefault="005B545E" w:rsidP="006A2C6F">
            <w:pPr>
              <w:pStyle w:val="Default"/>
            </w:pPr>
            <w:r w:rsidRPr="006A2C6F">
              <w:t>Someone has died</w:t>
            </w:r>
          </w:p>
        </w:tc>
        <w:tc>
          <w:tcPr>
            <w:tcW w:w="4621" w:type="dxa"/>
            <w:tcBorders>
              <w:top w:val="single" w:sz="4" w:space="0" w:color="auto"/>
              <w:left w:val="single" w:sz="4" w:space="0" w:color="auto"/>
              <w:bottom w:val="single" w:sz="4" w:space="0" w:color="auto"/>
              <w:right w:val="single" w:sz="4" w:space="0" w:color="auto"/>
            </w:tcBorders>
            <w:hideMark/>
          </w:tcPr>
          <w:p w14:paraId="48D40262" w14:textId="77777777" w:rsidR="005B545E" w:rsidRPr="006A2C6F" w:rsidRDefault="005B545E" w:rsidP="006A2C6F">
            <w:pPr>
              <w:pStyle w:val="Default"/>
              <w:rPr>
                <w:b/>
              </w:rPr>
            </w:pPr>
            <w:r w:rsidRPr="006A2C6F">
              <w:rPr>
                <w:b/>
              </w:rPr>
              <w:t>0</w:t>
            </w:r>
          </w:p>
        </w:tc>
      </w:tr>
      <w:tr w:rsidR="005B545E" w:rsidRPr="006A2C6F" w14:paraId="2EBA2903"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39F733A8" w14:textId="77777777" w:rsidR="005B545E" w:rsidRPr="006A2C6F" w:rsidRDefault="005B545E" w:rsidP="006A2C6F">
            <w:pPr>
              <w:pStyle w:val="Default"/>
            </w:pPr>
            <w:r w:rsidRPr="006A2C6F">
              <w:t>Someone has had permanent loss of bodily, sensory, motor, psychological or intellectual functions</w:t>
            </w:r>
          </w:p>
        </w:tc>
        <w:tc>
          <w:tcPr>
            <w:tcW w:w="4621" w:type="dxa"/>
            <w:tcBorders>
              <w:top w:val="single" w:sz="4" w:space="0" w:color="auto"/>
              <w:left w:val="single" w:sz="4" w:space="0" w:color="auto"/>
              <w:bottom w:val="single" w:sz="4" w:space="0" w:color="auto"/>
              <w:right w:val="single" w:sz="4" w:space="0" w:color="auto"/>
            </w:tcBorders>
            <w:hideMark/>
          </w:tcPr>
          <w:p w14:paraId="5B859536" w14:textId="77777777" w:rsidR="005B545E" w:rsidRPr="006A2C6F" w:rsidRDefault="005B545E" w:rsidP="006A2C6F">
            <w:pPr>
              <w:pStyle w:val="Default"/>
              <w:rPr>
                <w:b/>
              </w:rPr>
            </w:pPr>
            <w:r w:rsidRPr="006A2C6F">
              <w:rPr>
                <w:b/>
              </w:rPr>
              <w:t>0</w:t>
            </w:r>
          </w:p>
        </w:tc>
      </w:tr>
      <w:tr w:rsidR="005B545E" w:rsidRPr="006A2C6F" w14:paraId="31644CEB"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36C41D40" w14:textId="77777777" w:rsidR="005B545E" w:rsidRPr="006A2C6F" w:rsidRDefault="005B545E" w:rsidP="006A2C6F">
            <w:pPr>
              <w:pStyle w:val="Default"/>
            </w:pPr>
            <w:r w:rsidRPr="006A2C6F">
              <w:t>Someone’s treatment has increased because of harm</w:t>
            </w:r>
          </w:p>
        </w:tc>
        <w:tc>
          <w:tcPr>
            <w:tcW w:w="4621" w:type="dxa"/>
            <w:tcBorders>
              <w:top w:val="single" w:sz="4" w:space="0" w:color="auto"/>
              <w:left w:val="single" w:sz="4" w:space="0" w:color="auto"/>
              <w:bottom w:val="single" w:sz="4" w:space="0" w:color="auto"/>
              <w:right w:val="single" w:sz="4" w:space="0" w:color="auto"/>
            </w:tcBorders>
            <w:hideMark/>
          </w:tcPr>
          <w:p w14:paraId="1CA2ECD4" w14:textId="66CD4FD5" w:rsidR="005B545E" w:rsidRPr="006A2C6F" w:rsidRDefault="005B545E" w:rsidP="006A2C6F">
            <w:pPr>
              <w:pStyle w:val="Default"/>
              <w:rPr>
                <w:b/>
              </w:rPr>
            </w:pPr>
            <w:r w:rsidRPr="006A2C6F">
              <w:rPr>
                <w:b/>
              </w:rPr>
              <w:t>2</w:t>
            </w:r>
          </w:p>
        </w:tc>
      </w:tr>
      <w:tr w:rsidR="005B545E" w:rsidRPr="006A2C6F" w14:paraId="752CD43C"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6FE7AD48" w14:textId="77777777" w:rsidR="005B545E" w:rsidRPr="006A2C6F" w:rsidRDefault="005B545E" w:rsidP="006A2C6F">
            <w:pPr>
              <w:pStyle w:val="Default"/>
            </w:pPr>
            <w:r w:rsidRPr="006A2C6F">
              <w:t>The structure of someone’s body changed because of harm</w:t>
            </w:r>
          </w:p>
        </w:tc>
        <w:tc>
          <w:tcPr>
            <w:tcW w:w="4621" w:type="dxa"/>
            <w:tcBorders>
              <w:top w:val="single" w:sz="4" w:space="0" w:color="auto"/>
              <w:left w:val="single" w:sz="4" w:space="0" w:color="auto"/>
              <w:bottom w:val="single" w:sz="4" w:space="0" w:color="auto"/>
              <w:right w:val="single" w:sz="4" w:space="0" w:color="auto"/>
            </w:tcBorders>
            <w:hideMark/>
          </w:tcPr>
          <w:p w14:paraId="25EFA229" w14:textId="605823BE" w:rsidR="005B545E" w:rsidRPr="006A2C6F" w:rsidRDefault="005B545E" w:rsidP="006A2C6F">
            <w:pPr>
              <w:pStyle w:val="Default"/>
              <w:rPr>
                <w:b/>
              </w:rPr>
            </w:pPr>
            <w:r w:rsidRPr="006A2C6F">
              <w:rPr>
                <w:b/>
              </w:rPr>
              <w:t>0</w:t>
            </w:r>
          </w:p>
        </w:tc>
      </w:tr>
      <w:tr w:rsidR="005B545E" w:rsidRPr="006A2C6F" w14:paraId="56774AD9"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53D6FDBA" w14:textId="77777777" w:rsidR="005B545E" w:rsidRPr="006A2C6F" w:rsidRDefault="005B545E" w:rsidP="006A2C6F">
            <w:pPr>
              <w:pStyle w:val="Default"/>
            </w:pPr>
            <w:r w:rsidRPr="006A2C6F">
              <w:t>Someone’s life expectancy became shorted because of harm</w:t>
            </w:r>
          </w:p>
        </w:tc>
        <w:tc>
          <w:tcPr>
            <w:tcW w:w="4621" w:type="dxa"/>
            <w:tcBorders>
              <w:top w:val="single" w:sz="4" w:space="0" w:color="auto"/>
              <w:left w:val="single" w:sz="4" w:space="0" w:color="auto"/>
              <w:bottom w:val="single" w:sz="4" w:space="0" w:color="auto"/>
              <w:right w:val="single" w:sz="4" w:space="0" w:color="auto"/>
            </w:tcBorders>
            <w:hideMark/>
          </w:tcPr>
          <w:p w14:paraId="79D0B331" w14:textId="77777777" w:rsidR="005B545E" w:rsidRPr="006A2C6F" w:rsidRDefault="005B545E" w:rsidP="006A2C6F">
            <w:pPr>
              <w:pStyle w:val="Default"/>
              <w:rPr>
                <w:b/>
              </w:rPr>
            </w:pPr>
            <w:r w:rsidRPr="006A2C6F">
              <w:rPr>
                <w:b/>
              </w:rPr>
              <w:t>0</w:t>
            </w:r>
          </w:p>
        </w:tc>
      </w:tr>
      <w:tr w:rsidR="005B545E" w:rsidRPr="006A2C6F" w14:paraId="7E2FBB9B" w14:textId="77777777" w:rsidTr="00E46A4A">
        <w:tc>
          <w:tcPr>
            <w:tcW w:w="462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79"/>
              <w:gridCol w:w="222"/>
            </w:tblGrid>
            <w:tr w:rsidR="005B545E" w:rsidRPr="006A2C6F" w14:paraId="07EA6BDC" w14:textId="77777777" w:rsidTr="00E46A4A">
              <w:trPr>
                <w:trHeight w:val="270"/>
              </w:trPr>
              <w:tc>
                <w:tcPr>
                  <w:tcW w:w="0" w:type="auto"/>
                  <w:tcBorders>
                    <w:top w:val="nil"/>
                    <w:left w:val="nil"/>
                    <w:bottom w:val="nil"/>
                    <w:right w:val="nil"/>
                  </w:tcBorders>
                  <w:hideMark/>
                </w:tcPr>
                <w:p w14:paraId="397F3DF9" w14:textId="77777777" w:rsidR="005B545E" w:rsidRPr="006A2C6F" w:rsidRDefault="005B545E" w:rsidP="006A2C6F">
                  <w:pPr>
                    <w:pStyle w:val="Default"/>
                    <w:spacing w:line="256" w:lineRule="auto"/>
                    <w:ind w:left="-79"/>
                  </w:pPr>
                  <w:r w:rsidRPr="006A2C6F">
                    <w:t>Someone’s sensory, motor or intellectual functions is impaired for 28 days or more.</w:t>
                  </w:r>
                </w:p>
              </w:tc>
              <w:tc>
                <w:tcPr>
                  <w:tcW w:w="0" w:type="auto"/>
                  <w:tcBorders>
                    <w:top w:val="nil"/>
                    <w:left w:val="nil"/>
                    <w:bottom w:val="nil"/>
                    <w:right w:val="nil"/>
                  </w:tcBorders>
                </w:tcPr>
                <w:p w14:paraId="61795CCF" w14:textId="77777777" w:rsidR="005B545E" w:rsidRPr="006A2C6F" w:rsidRDefault="005B545E" w:rsidP="006A2C6F">
                  <w:pPr>
                    <w:pStyle w:val="Default"/>
                    <w:spacing w:line="256" w:lineRule="auto"/>
                  </w:pPr>
                </w:p>
              </w:tc>
            </w:tr>
          </w:tbl>
          <w:p w14:paraId="473897A9" w14:textId="77777777" w:rsidR="005B545E" w:rsidRPr="006A2C6F" w:rsidRDefault="005B545E" w:rsidP="006A2C6F">
            <w:pPr>
              <w:pStyle w:val="Default"/>
            </w:pPr>
          </w:p>
        </w:tc>
        <w:tc>
          <w:tcPr>
            <w:tcW w:w="4621" w:type="dxa"/>
            <w:tcBorders>
              <w:top w:val="single" w:sz="4" w:space="0" w:color="auto"/>
              <w:left w:val="single" w:sz="4" w:space="0" w:color="auto"/>
              <w:bottom w:val="single" w:sz="4" w:space="0" w:color="auto"/>
              <w:right w:val="single" w:sz="4" w:space="0" w:color="auto"/>
            </w:tcBorders>
            <w:hideMark/>
          </w:tcPr>
          <w:p w14:paraId="611F05D6" w14:textId="77777777" w:rsidR="005B545E" w:rsidRPr="006A2C6F" w:rsidRDefault="005B545E" w:rsidP="006A2C6F">
            <w:pPr>
              <w:pStyle w:val="Default"/>
              <w:rPr>
                <w:b/>
              </w:rPr>
            </w:pPr>
            <w:r w:rsidRPr="006A2C6F">
              <w:rPr>
                <w:b/>
              </w:rPr>
              <w:t>0</w:t>
            </w:r>
          </w:p>
        </w:tc>
      </w:tr>
      <w:tr w:rsidR="005B545E" w:rsidRPr="006A2C6F" w14:paraId="58621FBE"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083D137C" w14:textId="77777777" w:rsidR="005B545E" w:rsidRPr="006A2C6F" w:rsidRDefault="005B545E" w:rsidP="006A2C6F">
            <w:pPr>
              <w:pStyle w:val="Default"/>
            </w:pPr>
            <w:r w:rsidRPr="006A2C6F">
              <w:t>Someone experienced pain or psychological harm for 28 days or more</w:t>
            </w:r>
          </w:p>
        </w:tc>
        <w:tc>
          <w:tcPr>
            <w:tcW w:w="4621" w:type="dxa"/>
            <w:tcBorders>
              <w:top w:val="single" w:sz="4" w:space="0" w:color="auto"/>
              <w:left w:val="single" w:sz="4" w:space="0" w:color="auto"/>
              <w:bottom w:val="single" w:sz="4" w:space="0" w:color="auto"/>
              <w:right w:val="single" w:sz="4" w:space="0" w:color="auto"/>
            </w:tcBorders>
            <w:hideMark/>
          </w:tcPr>
          <w:p w14:paraId="2A213E5C" w14:textId="71BD1A0E" w:rsidR="005B545E" w:rsidRPr="006A2C6F" w:rsidRDefault="005B545E" w:rsidP="006A2C6F">
            <w:pPr>
              <w:pStyle w:val="Default"/>
              <w:rPr>
                <w:b/>
              </w:rPr>
            </w:pPr>
            <w:r w:rsidRPr="006A2C6F">
              <w:rPr>
                <w:b/>
              </w:rPr>
              <w:t>0</w:t>
            </w:r>
          </w:p>
        </w:tc>
      </w:tr>
      <w:tr w:rsidR="005B545E" w:rsidRPr="006A2C6F" w14:paraId="43B19828"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4768B170" w14:textId="77777777" w:rsidR="005B545E" w:rsidRPr="006A2C6F" w:rsidRDefault="005B545E" w:rsidP="006A2C6F">
            <w:pPr>
              <w:pStyle w:val="Default"/>
            </w:pPr>
            <w:r w:rsidRPr="006A2C6F">
              <w:t xml:space="preserve">A person needed health treatment </w:t>
            </w:r>
            <w:proofErr w:type="gramStart"/>
            <w:r w:rsidRPr="006A2C6F">
              <w:t>in order to</w:t>
            </w:r>
            <w:proofErr w:type="gramEnd"/>
            <w:r w:rsidRPr="006A2C6F">
              <w:t xml:space="preserve"> prevent them dying</w:t>
            </w:r>
          </w:p>
        </w:tc>
        <w:tc>
          <w:tcPr>
            <w:tcW w:w="4621" w:type="dxa"/>
            <w:tcBorders>
              <w:top w:val="single" w:sz="4" w:space="0" w:color="auto"/>
              <w:left w:val="single" w:sz="4" w:space="0" w:color="auto"/>
              <w:bottom w:val="single" w:sz="4" w:space="0" w:color="auto"/>
              <w:right w:val="single" w:sz="4" w:space="0" w:color="auto"/>
            </w:tcBorders>
            <w:hideMark/>
          </w:tcPr>
          <w:p w14:paraId="166BE15E" w14:textId="77777777" w:rsidR="005B545E" w:rsidRPr="006A2C6F" w:rsidRDefault="005B545E" w:rsidP="006A2C6F">
            <w:pPr>
              <w:pStyle w:val="Default"/>
              <w:rPr>
                <w:b/>
              </w:rPr>
            </w:pPr>
            <w:r w:rsidRPr="006A2C6F">
              <w:rPr>
                <w:b/>
              </w:rPr>
              <w:t>0</w:t>
            </w:r>
          </w:p>
        </w:tc>
      </w:tr>
      <w:tr w:rsidR="005B545E" w:rsidRPr="006A2C6F" w14:paraId="53732C2C" w14:textId="77777777" w:rsidTr="00E46A4A">
        <w:tc>
          <w:tcPr>
            <w:tcW w:w="4621" w:type="dxa"/>
            <w:tcBorders>
              <w:top w:val="single" w:sz="4" w:space="0" w:color="auto"/>
              <w:left w:val="single" w:sz="4" w:space="0" w:color="auto"/>
              <w:bottom w:val="single" w:sz="4" w:space="0" w:color="auto"/>
              <w:right w:val="single" w:sz="4" w:space="0" w:color="auto"/>
            </w:tcBorders>
            <w:hideMark/>
          </w:tcPr>
          <w:p w14:paraId="0F271B8A" w14:textId="77777777" w:rsidR="005B545E" w:rsidRPr="006A2C6F" w:rsidRDefault="005B545E" w:rsidP="006A2C6F">
            <w:pPr>
              <w:pStyle w:val="Default"/>
            </w:pPr>
            <w:r w:rsidRPr="006A2C6F">
              <w:t xml:space="preserve">A person needing health treatment </w:t>
            </w:r>
            <w:proofErr w:type="gramStart"/>
            <w:r w:rsidRPr="006A2C6F">
              <w:t>in order to</w:t>
            </w:r>
            <w:proofErr w:type="gramEnd"/>
            <w:r w:rsidRPr="006A2C6F">
              <w:t xml:space="preserve"> prevent other injuries</w:t>
            </w:r>
          </w:p>
        </w:tc>
        <w:tc>
          <w:tcPr>
            <w:tcW w:w="4621" w:type="dxa"/>
            <w:tcBorders>
              <w:top w:val="single" w:sz="4" w:space="0" w:color="auto"/>
              <w:left w:val="single" w:sz="4" w:space="0" w:color="auto"/>
              <w:bottom w:val="single" w:sz="4" w:space="0" w:color="auto"/>
              <w:right w:val="single" w:sz="4" w:space="0" w:color="auto"/>
            </w:tcBorders>
            <w:hideMark/>
          </w:tcPr>
          <w:p w14:paraId="6A582AE9" w14:textId="77777777" w:rsidR="005B545E" w:rsidRPr="006A2C6F" w:rsidRDefault="005B545E" w:rsidP="006A2C6F">
            <w:pPr>
              <w:pStyle w:val="Default"/>
              <w:rPr>
                <w:b/>
              </w:rPr>
            </w:pPr>
            <w:r w:rsidRPr="006A2C6F">
              <w:rPr>
                <w:b/>
              </w:rPr>
              <w:t>0</w:t>
            </w:r>
          </w:p>
        </w:tc>
      </w:tr>
    </w:tbl>
    <w:p w14:paraId="047273AC" w14:textId="77777777" w:rsidR="005B545E" w:rsidRPr="006A2C6F" w:rsidRDefault="005B545E" w:rsidP="006A2C6F">
      <w:pPr>
        <w:pStyle w:val="Default"/>
        <w:rPr>
          <w:b/>
        </w:rPr>
      </w:pPr>
    </w:p>
    <w:p w14:paraId="7C57FEF2" w14:textId="77777777" w:rsidR="005B545E" w:rsidRPr="006A2C6F" w:rsidRDefault="005B545E" w:rsidP="006A2C6F">
      <w:pPr>
        <w:rPr>
          <w:b/>
          <w:bCs/>
        </w:rPr>
      </w:pPr>
    </w:p>
    <w:p w14:paraId="727E427B" w14:textId="77777777" w:rsidR="00FF214F" w:rsidRPr="006A2C6F" w:rsidRDefault="00FF214F" w:rsidP="006A2C6F">
      <w:r w:rsidRPr="006A2C6F">
        <w:t>During the reporting period, there were two incidents which met the criteria for the organisational Duty of Candour.</w:t>
      </w:r>
    </w:p>
    <w:p w14:paraId="70C95D6B" w14:textId="77777777" w:rsidR="00FF214F" w:rsidRPr="006A2C6F" w:rsidRDefault="00FF214F" w:rsidP="006A2C6F">
      <w:pPr>
        <w:rPr>
          <w:b/>
          <w:bCs/>
        </w:rPr>
      </w:pPr>
      <w:r w:rsidRPr="006A2C6F">
        <w:rPr>
          <w:b/>
          <w:bCs/>
        </w:rPr>
        <w:lastRenderedPageBreak/>
        <w:t>Incident 1</w:t>
      </w:r>
    </w:p>
    <w:p w14:paraId="7811D212" w14:textId="77777777" w:rsidR="00FF214F" w:rsidRPr="006A2C6F" w:rsidRDefault="00FF214F" w:rsidP="006A2C6F">
      <w:r w:rsidRPr="006A2C6F">
        <w:t>A resident sustained a laceration to their right calf whilst being transferred on their bed. During the transfer, the resident's calf caught on a protruding screw located on the edge of the bed. Although the harm was assessed as not severe, the injury resulted in an increase in treatment, requiring wound care for approximately six weeks until the wound had healed.</w:t>
      </w:r>
    </w:p>
    <w:p w14:paraId="5EB4F4A6" w14:textId="609E1BF2" w:rsidR="00FF214F" w:rsidRPr="006A2C6F" w:rsidRDefault="00FF214F" w:rsidP="006A2C6F">
      <w:r w:rsidRPr="006A2C6F">
        <w:t xml:space="preserve">The resident and their representative were informed of the incident, an apology was provided, and the incident was fully investigated. The bed was immediately removed from use and inspected, </w:t>
      </w:r>
      <w:r w:rsidR="00583595" w:rsidRPr="006A2C6F">
        <w:t>and</w:t>
      </w:r>
      <w:r w:rsidRPr="006A2C6F">
        <w:t xml:space="preserve"> learning shared with staff to reduce the risk of recurrence. Safe moving and handling practices and equipment checks were reinforced across the service.</w:t>
      </w:r>
    </w:p>
    <w:p w14:paraId="5F1A64BC" w14:textId="77777777" w:rsidR="00FF214F" w:rsidRPr="006A2C6F" w:rsidRDefault="00FF214F" w:rsidP="006A2C6F">
      <w:pPr>
        <w:rPr>
          <w:b/>
          <w:bCs/>
        </w:rPr>
      </w:pPr>
      <w:r w:rsidRPr="006A2C6F">
        <w:rPr>
          <w:b/>
          <w:bCs/>
        </w:rPr>
        <w:t>Incident 2</w:t>
      </w:r>
    </w:p>
    <w:p w14:paraId="129777BC" w14:textId="3D81BB3D" w:rsidR="00FF214F" w:rsidRPr="006A2C6F" w:rsidRDefault="00FF214F" w:rsidP="006A2C6F">
      <w:r w:rsidRPr="006A2C6F">
        <w:t>A resident developed a suspected deep tissue injury to the sole of their foot. The injury was caused by pressure from the valve of a boot</w:t>
      </w:r>
      <w:r w:rsidR="00C323AF" w:rsidRPr="006A2C6F">
        <w:t xml:space="preserve"> designed to prevent </w:t>
      </w:r>
      <w:r w:rsidR="00D51003" w:rsidRPr="006A2C6F">
        <w:t xml:space="preserve">pressure injuries. </w:t>
      </w:r>
      <w:r w:rsidRPr="006A2C6F">
        <w:t>The boot was immediately removed and replaced with a suitable alternative pressure-relieving device. A wound assessment and care plan w</w:t>
      </w:r>
      <w:r w:rsidR="00583595" w:rsidRPr="006A2C6F">
        <w:t>as</w:t>
      </w:r>
      <w:r w:rsidRPr="006A2C6F">
        <w:t xml:space="preserve"> implemented, daily monitoring commenced, and appropriate pressure-relieving equipment was put in place.</w:t>
      </w:r>
    </w:p>
    <w:p w14:paraId="57D92F4D" w14:textId="77777777" w:rsidR="00FF214F" w:rsidRPr="006A2C6F" w:rsidRDefault="00FF214F" w:rsidP="006A2C6F">
      <w:r w:rsidRPr="006A2C6F">
        <w:t>The incident met the threshold for Duty of Candour as it resulted in additional treatment and ongoing clinical monitoring. The resident and/or their representative were informed, an apology was given, and the circumstances surrounding the incident were reviewed to identify learning and minimise the likelihood of recurrence.</w:t>
      </w:r>
    </w:p>
    <w:p w14:paraId="0CD0F8A2" w14:textId="77777777" w:rsidR="00053B00" w:rsidRPr="006A2C6F" w:rsidRDefault="00053B00" w:rsidP="006A2C6F"/>
    <w:p w14:paraId="74D89C71" w14:textId="77777777" w:rsidR="006E0E87" w:rsidRPr="006A2C6F" w:rsidRDefault="006E0E87" w:rsidP="006A2C6F">
      <w:pPr>
        <w:rPr>
          <w:b/>
          <w:bCs/>
        </w:rPr>
      </w:pPr>
      <w:r w:rsidRPr="006A2C6F">
        <w:rPr>
          <w:b/>
          <w:bCs/>
        </w:rPr>
        <w:t>Randolph Hill Nursing Homes Group</w:t>
      </w:r>
    </w:p>
    <w:p w14:paraId="34F69423" w14:textId="77777777" w:rsidR="006E0E87" w:rsidRPr="006A2C6F" w:rsidRDefault="006E0E87" w:rsidP="006A2C6F">
      <w:r w:rsidRPr="006A2C6F">
        <w:t>Randolph Hill Nursing Homes Group operates seven nursing homes across Edinburgh, the Lothians and Dunblane. Six of our homes provide care and accommodation for up to 60 residents, and one for 50 residents. Our residents are older people who find it very hard to live at home. We aim to ensure our residents receive an excellent quality of care and live happy, fulfilled lives.</w:t>
      </w:r>
    </w:p>
    <w:p w14:paraId="08C1CEB2" w14:textId="77777777" w:rsidR="005A6CBB" w:rsidRPr="006A2C6F" w:rsidRDefault="005A6CBB" w:rsidP="006A2C6F"/>
    <w:p w14:paraId="5EEDB3DF" w14:textId="77777777" w:rsidR="00B3539D" w:rsidRPr="006A2C6F" w:rsidRDefault="00B3539D" w:rsidP="006A2C6F">
      <w:pPr>
        <w:rPr>
          <w:b/>
          <w:bCs/>
        </w:rPr>
      </w:pPr>
      <w:r w:rsidRPr="006A2C6F">
        <w:rPr>
          <w:b/>
          <w:bCs/>
        </w:rPr>
        <w:t>Information about our policy and procedure</w:t>
      </w:r>
    </w:p>
    <w:p w14:paraId="601A5DC2" w14:textId="77777777" w:rsidR="00B3539D" w:rsidRPr="006A2C6F" w:rsidRDefault="00B3539D" w:rsidP="006A2C6F">
      <w:r w:rsidRPr="006A2C6F">
        <w:t>The company has a Duty of Candour Policy and guidance for staff. This is always available on the company's website. All staff receive training during their induction period about what Duty of Candour means and the importance of being honest and open.</w:t>
      </w:r>
    </w:p>
    <w:p w14:paraId="6E8BBCF5" w14:textId="77777777" w:rsidR="00B3539D" w:rsidRPr="006A2C6F" w:rsidRDefault="00B3539D" w:rsidP="006A2C6F">
      <w:r w:rsidRPr="006A2C6F">
        <w:lastRenderedPageBreak/>
        <w:t>Senior staff receive more detailed training on the requirements of Duty of Candour, the company policy and the procedure to follow.</w:t>
      </w:r>
    </w:p>
    <w:p w14:paraId="01DCE8E9" w14:textId="77777777" w:rsidR="00B3539D" w:rsidRPr="006A2C6F" w:rsidRDefault="00B3539D" w:rsidP="006A2C6F">
      <w:r w:rsidRPr="006A2C6F">
        <w:t>Senior management are available on call, 24 hours a day, to give advice and support to staff where needed regarding Duty of Candour incidents.</w:t>
      </w:r>
    </w:p>
    <w:p w14:paraId="12DFE752" w14:textId="77777777" w:rsidR="00B3539D" w:rsidRPr="006A2C6F" w:rsidRDefault="00B3539D" w:rsidP="006A2C6F">
      <w:r w:rsidRPr="006A2C6F">
        <w:t>We know that serious mistakes can be distressing for staff as well as people who receive care and treatment and their families. We therefore offer support for our staff if they have been affected by an organisational Duty of Candour incident.</w:t>
      </w:r>
    </w:p>
    <w:p w14:paraId="52192D89" w14:textId="77777777" w:rsidR="005A6CBB" w:rsidRPr="006A2C6F" w:rsidRDefault="005A6CBB" w:rsidP="006A2C6F"/>
    <w:p w14:paraId="50A8884C" w14:textId="77777777" w:rsidR="005A6CBB" w:rsidRPr="006A2C6F" w:rsidRDefault="005A6CBB" w:rsidP="006A2C6F">
      <w:pPr>
        <w:rPr>
          <w:b/>
          <w:bCs/>
        </w:rPr>
      </w:pPr>
      <w:r w:rsidRPr="006A2C6F">
        <w:rPr>
          <w:b/>
          <w:bCs/>
        </w:rPr>
        <w:t>Information About Our Policies and Procedures</w:t>
      </w:r>
    </w:p>
    <w:p w14:paraId="6C81A7B2" w14:textId="267CFE84" w:rsidR="005A6CBB" w:rsidRPr="006A2C6F" w:rsidRDefault="005A6CBB" w:rsidP="006A2C6F">
      <w:r w:rsidRPr="006A2C6F">
        <w:t>Where something has happened that triggers the organisational Duty of Candour, our staff report this to the manager of the care home. The manager records the incident and reports this to the Care Inspectorate. When an incident has happened</w:t>
      </w:r>
      <w:r w:rsidR="00EC428A" w:rsidRPr="006A2C6F">
        <w:t>,</w:t>
      </w:r>
      <w:r w:rsidRPr="006A2C6F">
        <w:t xml:space="preserve"> which meets the criteria of a Duty of Candour event, the manager of the service contacts the Senior Management Team, who coordinate</w:t>
      </w:r>
      <w:r w:rsidR="00EC428A" w:rsidRPr="006A2C6F">
        <w:t>s</w:t>
      </w:r>
      <w:r w:rsidRPr="006A2C6F">
        <w:t xml:space="preserve"> an investigation, meetings with families</w:t>
      </w:r>
      <w:r w:rsidR="00EC428A" w:rsidRPr="006A2C6F">
        <w:t>,</w:t>
      </w:r>
      <w:r w:rsidRPr="006A2C6F">
        <w:t xml:space="preserve"> and support for staff involved.</w:t>
      </w:r>
    </w:p>
    <w:p w14:paraId="7579B06C" w14:textId="77777777" w:rsidR="005A6CBB" w:rsidRPr="006A2C6F" w:rsidRDefault="005A6CBB" w:rsidP="006A2C6F"/>
    <w:p w14:paraId="51757390" w14:textId="77777777" w:rsidR="002B078E" w:rsidRPr="006A2C6F" w:rsidRDefault="002B078E" w:rsidP="006A2C6F">
      <w:pPr>
        <w:rPr>
          <w:b/>
          <w:bCs/>
        </w:rPr>
      </w:pPr>
    </w:p>
    <w:p w14:paraId="4E7EC0CF" w14:textId="7ECE7542" w:rsidR="002B078E" w:rsidRPr="006A2C6F" w:rsidRDefault="002B078E" w:rsidP="006A2C6F">
      <w:pPr>
        <w:rPr>
          <w:b/>
          <w:bCs/>
        </w:rPr>
      </w:pPr>
      <w:r w:rsidRPr="006A2C6F">
        <w:rPr>
          <w:b/>
          <w:bCs/>
        </w:rPr>
        <w:t>What have we learned?</w:t>
      </w:r>
    </w:p>
    <w:p w14:paraId="6FB7AC86" w14:textId="77777777" w:rsidR="002B078E" w:rsidRPr="006A2C6F" w:rsidRDefault="002B078E" w:rsidP="006A2C6F">
      <w:r w:rsidRPr="006A2C6F">
        <w:t>At Randolph Hill Nursing Homes Group Limited, we recognise that unexpected or unintended incidents can occur during the provision of treatment and care. We also recognise that trust is at the heart of a caring relationship and, when things go wrong, we are honest with those affected. We make sure that people affected receive an apology and that we learn how to improve for the future. We also do this for events where Duty of Candour legislation does not apply.</w:t>
      </w:r>
    </w:p>
    <w:p w14:paraId="74627D06" w14:textId="77777777" w:rsidR="002B078E" w:rsidRPr="006A2C6F" w:rsidRDefault="002B078E" w:rsidP="006A2C6F">
      <w:r w:rsidRPr="006A2C6F">
        <w:t>Following the two Duty of Candour incidents during this reporting period, we identified several areas of learning and improvement, including:</w:t>
      </w:r>
    </w:p>
    <w:p w14:paraId="01634233" w14:textId="77777777" w:rsidR="002B078E" w:rsidRPr="006A2C6F" w:rsidRDefault="002B078E" w:rsidP="006A2C6F">
      <w:pPr>
        <w:numPr>
          <w:ilvl w:val="0"/>
          <w:numId w:val="1"/>
        </w:numPr>
      </w:pPr>
      <w:r w:rsidRPr="006A2C6F">
        <w:t xml:space="preserve">Reinforcing routine inspection and maintenance of beds and other moving and handling equipment to ensure they remain safe and free from defects. </w:t>
      </w:r>
    </w:p>
    <w:p w14:paraId="57EF4B1C" w14:textId="77777777" w:rsidR="002B078E" w:rsidRPr="006A2C6F" w:rsidRDefault="002B078E" w:rsidP="006A2C6F">
      <w:pPr>
        <w:numPr>
          <w:ilvl w:val="0"/>
          <w:numId w:val="1"/>
        </w:numPr>
      </w:pPr>
      <w:r w:rsidRPr="006A2C6F">
        <w:t xml:space="preserve">Reviewing pressure area care practices, including the use, fitting and monitoring of pressure-relieving devices. </w:t>
      </w:r>
    </w:p>
    <w:p w14:paraId="12214DF0" w14:textId="77777777" w:rsidR="002B078E" w:rsidRPr="006A2C6F" w:rsidRDefault="002B078E" w:rsidP="006A2C6F">
      <w:pPr>
        <w:numPr>
          <w:ilvl w:val="0"/>
          <w:numId w:val="1"/>
        </w:numPr>
      </w:pPr>
      <w:r w:rsidRPr="006A2C6F">
        <w:t xml:space="preserve">Reinforcing staff awareness of regular skin inspections and prompt reporting of any signs of pressure damage. </w:t>
      </w:r>
    </w:p>
    <w:p w14:paraId="22B7AA2F" w14:textId="77777777" w:rsidR="002B078E" w:rsidRPr="006A2C6F" w:rsidRDefault="002B078E" w:rsidP="006A2C6F">
      <w:pPr>
        <w:numPr>
          <w:ilvl w:val="0"/>
          <w:numId w:val="1"/>
        </w:numPr>
      </w:pPr>
      <w:r w:rsidRPr="006A2C6F">
        <w:t xml:space="preserve">Sharing learning from both incidents across all homes to improve practice and reduce the likelihood of similar incidents occurring. </w:t>
      </w:r>
    </w:p>
    <w:p w14:paraId="7B08972D" w14:textId="77777777" w:rsidR="002B078E" w:rsidRPr="006A2C6F" w:rsidRDefault="002B078E" w:rsidP="006A2C6F">
      <w:pPr>
        <w:numPr>
          <w:ilvl w:val="0"/>
          <w:numId w:val="1"/>
        </w:numPr>
      </w:pPr>
      <w:r w:rsidRPr="006A2C6F">
        <w:lastRenderedPageBreak/>
        <w:t>Continuing to review accidents and incidents to identify trends and implement service improvements through policy review, staff training and reflective practice.</w:t>
      </w:r>
    </w:p>
    <w:p w14:paraId="6F1729ED" w14:textId="77777777" w:rsidR="00FE57BF" w:rsidRPr="006A2C6F" w:rsidRDefault="00FE57BF" w:rsidP="006A2C6F"/>
    <w:p w14:paraId="406E75AA" w14:textId="77777777" w:rsidR="00FE57BF" w:rsidRPr="006A2C6F" w:rsidRDefault="00FE57BF" w:rsidP="006A2C6F">
      <w:pPr>
        <w:rPr>
          <w:b/>
          <w:bCs/>
        </w:rPr>
      </w:pPr>
      <w:r w:rsidRPr="006A2C6F">
        <w:rPr>
          <w:b/>
          <w:bCs/>
        </w:rPr>
        <w:t>Training and Support for Staff</w:t>
      </w:r>
    </w:p>
    <w:p w14:paraId="68A4C53C" w14:textId="6A5B6B90" w:rsidR="00FE57BF" w:rsidRPr="006A2C6F" w:rsidRDefault="00FE57BF" w:rsidP="006A2C6F">
      <w:r w:rsidRPr="006A2C6F">
        <w:t>All new staff learn about the organisational Duty of Candour during their induction. We know that serious mistakes can be distressing for staff as well as people who receive care and treatment</w:t>
      </w:r>
      <w:r w:rsidR="00583595" w:rsidRPr="006A2C6F">
        <w:t>,</w:t>
      </w:r>
      <w:r w:rsidRPr="006A2C6F">
        <w:t xml:space="preserve"> and their families. We therefore offer support to staff who have been affected by an organisational Duty of Candour incident.</w:t>
      </w:r>
    </w:p>
    <w:p w14:paraId="14C52EC3" w14:textId="77777777" w:rsidR="00FE57BF" w:rsidRPr="006A2C6F" w:rsidRDefault="00FE57BF" w:rsidP="006A2C6F"/>
    <w:p w14:paraId="109649E6" w14:textId="77777777" w:rsidR="00477C2E" w:rsidRPr="006A2C6F" w:rsidRDefault="00477C2E" w:rsidP="006A2C6F">
      <w:pPr>
        <w:rPr>
          <w:b/>
          <w:bCs/>
        </w:rPr>
      </w:pPr>
      <w:r w:rsidRPr="006A2C6F">
        <w:rPr>
          <w:b/>
          <w:bCs/>
        </w:rPr>
        <w:t>Support for Relevant Persons</w:t>
      </w:r>
    </w:p>
    <w:p w14:paraId="709DB9EB" w14:textId="6C6E8C22" w:rsidR="00477C2E" w:rsidRPr="00477C2E" w:rsidRDefault="00477C2E" w:rsidP="006A2C6F">
      <w:r w:rsidRPr="006A2C6F">
        <w:t>Where people we support</w:t>
      </w:r>
      <w:r w:rsidR="00583595" w:rsidRPr="006A2C6F">
        <w:t>,</w:t>
      </w:r>
      <w:r w:rsidRPr="006A2C6F">
        <w:t xml:space="preserve"> and their families</w:t>
      </w:r>
      <w:r w:rsidR="00583595" w:rsidRPr="006A2C6F">
        <w:t>,</w:t>
      </w:r>
      <w:r w:rsidRPr="006A2C6F">
        <w:t xml:space="preserve"> are affected by an incident that activates the organisational Duty of Candour, we provide appropriate information, ongoing communication and access to additional services for wellbeing support where required.</w:t>
      </w:r>
    </w:p>
    <w:p w14:paraId="3A1FC4DF" w14:textId="77777777" w:rsidR="00477C2E" w:rsidRDefault="00477C2E" w:rsidP="00FE57BF"/>
    <w:p w14:paraId="00B6D5D2" w14:textId="77777777" w:rsidR="00BA1345" w:rsidRPr="00BA1345" w:rsidRDefault="00BA1345" w:rsidP="00BA1345">
      <w:r w:rsidRPr="00BA1345">
        <w:t>We hope you find this report informative. If you have any questions or would like more information about Randolph Hill Nursing Homes Group Limited, please feel free to contact us at:</w:t>
      </w:r>
    </w:p>
    <w:p w14:paraId="01357B9C" w14:textId="77777777" w:rsidR="00BA1345" w:rsidRPr="00BA1345" w:rsidRDefault="00BA1345" w:rsidP="00BA1345">
      <w:r w:rsidRPr="00BA1345">
        <w:rPr>
          <w:b/>
          <w:bCs/>
        </w:rPr>
        <w:t>Randolph Hill Nursing Homes Group Limited</w:t>
      </w:r>
      <w:r w:rsidRPr="00BA1345">
        <w:br/>
        <w:t>2nd Floor</w:t>
      </w:r>
      <w:r w:rsidRPr="00BA1345">
        <w:br/>
        <w:t xml:space="preserve">6 </w:t>
      </w:r>
      <w:proofErr w:type="spellStart"/>
      <w:r w:rsidRPr="00BA1345">
        <w:t>Redheughs</w:t>
      </w:r>
      <w:proofErr w:type="spellEnd"/>
      <w:r w:rsidRPr="00BA1345">
        <w:t xml:space="preserve"> Rigg</w:t>
      </w:r>
      <w:r w:rsidRPr="00BA1345">
        <w:br/>
        <w:t>South Gyle</w:t>
      </w:r>
      <w:r w:rsidRPr="00BA1345">
        <w:br/>
        <w:t>Edinburgh EH12 9DQ</w:t>
      </w:r>
    </w:p>
    <w:p w14:paraId="7BD3CA7D" w14:textId="77777777" w:rsidR="00BA1345" w:rsidRPr="00BA1345" w:rsidRDefault="00BA1345" w:rsidP="00BA1345">
      <w:r w:rsidRPr="00BA1345">
        <w:rPr>
          <w:b/>
          <w:bCs/>
        </w:rPr>
        <w:t>Tel:</w:t>
      </w:r>
      <w:r w:rsidRPr="00BA1345">
        <w:t xml:space="preserve"> 0131 523 0440</w:t>
      </w:r>
      <w:r w:rsidRPr="00BA1345">
        <w:br/>
      </w:r>
      <w:r w:rsidRPr="00BA1345">
        <w:rPr>
          <w:b/>
          <w:bCs/>
        </w:rPr>
        <w:t>Email:</w:t>
      </w:r>
      <w:r w:rsidRPr="00BA1345">
        <w:t xml:space="preserve"> headoffice@randolphhill.com</w:t>
      </w:r>
    </w:p>
    <w:p w14:paraId="72FD40DD" w14:textId="77777777" w:rsidR="00477C2E" w:rsidRPr="002B078E" w:rsidRDefault="00477C2E" w:rsidP="00FE57BF"/>
    <w:p w14:paraId="2D0A5EFD" w14:textId="77777777" w:rsidR="005A6CBB" w:rsidRPr="005A6CBB" w:rsidRDefault="005A6CBB" w:rsidP="005A6CBB"/>
    <w:p w14:paraId="5236C48D" w14:textId="77777777" w:rsidR="00053B00" w:rsidRPr="00053B00" w:rsidRDefault="00053B00" w:rsidP="00FF214F"/>
    <w:p w14:paraId="6BB8BD7A" w14:textId="77777777" w:rsidR="008204BE" w:rsidRPr="008204BE" w:rsidRDefault="008204BE" w:rsidP="008204BE">
      <w:pPr>
        <w:rPr>
          <w:b/>
          <w:bCs/>
        </w:rPr>
      </w:pPr>
    </w:p>
    <w:p w14:paraId="53EF1A7D" w14:textId="77777777" w:rsidR="004919F3" w:rsidRDefault="004919F3" w:rsidP="008204BE"/>
    <w:sectPr w:rsidR="00491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3028A"/>
    <w:multiLevelType w:val="multilevel"/>
    <w:tmpl w:val="505A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68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E5"/>
    <w:rsid w:val="00053B00"/>
    <w:rsid w:val="002B078E"/>
    <w:rsid w:val="004470BD"/>
    <w:rsid w:val="00477C2E"/>
    <w:rsid w:val="004919F3"/>
    <w:rsid w:val="00565434"/>
    <w:rsid w:val="00583595"/>
    <w:rsid w:val="005A6CBB"/>
    <w:rsid w:val="005B545E"/>
    <w:rsid w:val="00610CD0"/>
    <w:rsid w:val="006A2C6F"/>
    <w:rsid w:val="006E0E87"/>
    <w:rsid w:val="00754D6E"/>
    <w:rsid w:val="008204BE"/>
    <w:rsid w:val="00857B59"/>
    <w:rsid w:val="00994273"/>
    <w:rsid w:val="009E0667"/>
    <w:rsid w:val="00A504CF"/>
    <w:rsid w:val="00B3539D"/>
    <w:rsid w:val="00BA1345"/>
    <w:rsid w:val="00BF0E96"/>
    <w:rsid w:val="00C323AF"/>
    <w:rsid w:val="00C51DEE"/>
    <w:rsid w:val="00D51003"/>
    <w:rsid w:val="00EB271F"/>
    <w:rsid w:val="00EC428A"/>
    <w:rsid w:val="00F531E5"/>
    <w:rsid w:val="00FA0CC0"/>
    <w:rsid w:val="00FE57BF"/>
    <w:rsid w:val="00FF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AC21"/>
  <w15:chartTrackingRefBased/>
  <w15:docId w15:val="{AB26F48B-EFF2-4581-87E0-27ECFCCD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1E5"/>
    <w:rPr>
      <w:rFonts w:eastAsiaTheme="majorEastAsia" w:cstheme="majorBidi"/>
      <w:color w:val="272727" w:themeColor="text1" w:themeTint="D8"/>
    </w:rPr>
  </w:style>
  <w:style w:type="paragraph" w:styleId="Title">
    <w:name w:val="Title"/>
    <w:basedOn w:val="Normal"/>
    <w:next w:val="Normal"/>
    <w:link w:val="TitleChar"/>
    <w:uiPriority w:val="10"/>
    <w:qFormat/>
    <w:rsid w:val="00F53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1E5"/>
    <w:pPr>
      <w:spacing w:before="160"/>
      <w:jc w:val="center"/>
    </w:pPr>
    <w:rPr>
      <w:i/>
      <w:iCs/>
      <w:color w:val="404040" w:themeColor="text1" w:themeTint="BF"/>
    </w:rPr>
  </w:style>
  <w:style w:type="character" w:customStyle="1" w:styleId="QuoteChar">
    <w:name w:val="Quote Char"/>
    <w:basedOn w:val="DefaultParagraphFont"/>
    <w:link w:val="Quote"/>
    <w:uiPriority w:val="29"/>
    <w:rsid w:val="00F531E5"/>
    <w:rPr>
      <w:i/>
      <w:iCs/>
      <w:color w:val="404040" w:themeColor="text1" w:themeTint="BF"/>
    </w:rPr>
  </w:style>
  <w:style w:type="paragraph" w:styleId="ListParagraph">
    <w:name w:val="List Paragraph"/>
    <w:basedOn w:val="Normal"/>
    <w:uiPriority w:val="34"/>
    <w:qFormat/>
    <w:rsid w:val="00F531E5"/>
    <w:pPr>
      <w:ind w:left="720"/>
      <w:contextualSpacing/>
    </w:pPr>
  </w:style>
  <w:style w:type="character" w:styleId="IntenseEmphasis">
    <w:name w:val="Intense Emphasis"/>
    <w:basedOn w:val="DefaultParagraphFont"/>
    <w:uiPriority w:val="21"/>
    <w:qFormat/>
    <w:rsid w:val="00F531E5"/>
    <w:rPr>
      <w:i/>
      <w:iCs/>
      <w:color w:val="0F4761" w:themeColor="accent1" w:themeShade="BF"/>
    </w:rPr>
  </w:style>
  <w:style w:type="paragraph" w:styleId="IntenseQuote">
    <w:name w:val="Intense Quote"/>
    <w:basedOn w:val="Normal"/>
    <w:next w:val="Normal"/>
    <w:link w:val="IntenseQuoteChar"/>
    <w:uiPriority w:val="30"/>
    <w:qFormat/>
    <w:rsid w:val="00F53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1E5"/>
    <w:rPr>
      <w:i/>
      <w:iCs/>
      <w:color w:val="0F4761" w:themeColor="accent1" w:themeShade="BF"/>
    </w:rPr>
  </w:style>
  <w:style w:type="character" w:styleId="IntenseReference">
    <w:name w:val="Intense Reference"/>
    <w:basedOn w:val="DefaultParagraphFont"/>
    <w:uiPriority w:val="32"/>
    <w:qFormat/>
    <w:rsid w:val="00F531E5"/>
    <w:rPr>
      <w:b/>
      <w:bCs/>
      <w:smallCaps/>
      <w:color w:val="0F4761" w:themeColor="accent1" w:themeShade="BF"/>
      <w:spacing w:val="5"/>
    </w:rPr>
  </w:style>
  <w:style w:type="paragraph" w:customStyle="1" w:styleId="Default">
    <w:name w:val="Default"/>
    <w:rsid w:val="005B545E"/>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59"/>
    <w:rsid w:val="005B545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1E75438E086458EC68A1E60771D1A" ma:contentTypeVersion="15" ma:contentTypeDescription="Create a new document." ma:contentTypeScope="" ma:versionID="5651112fa9ac14d6cc06c8d8220b2ccc">
  <xsd:schema xmlns:xsd="http://www.w3.org/2001/XMLSchema" xmlns:xs="http://www.w3.org/2001/XMLSchema" xmlns:p="http://schemas.microsoft.com/office/2006/metadata/properties" xmlns:ns2="1e29c085-397f-4914-a212-54dc4d4ca7df" xmlns:ns3="5728e3e5-ca03-493c-9bcc-7ade018e3784" targetNamespace="http://schemas.microsoft.com/office/2006/metadata/properties" ma:root="true" ma:fieldsID="7f67586a6941b28e698f847e483db29c" ns2:_="" ns3:_="">
    <xsd:import namespace="1e29c085-397f-4914-a212-54dc4d4ca7df"/>
    <xsd:import namespace="5728e3e5-ca03-493c-9bcc-7ade018e378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9c085-397f-4914-a212-54dc4d4ca7d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2381c08-1410-4836-8066-43f904e17f40}" ma:internalName="TaxCatchAll" ma:showField="CatchAllData" ma:web="1e29c085-397f-4914-a212-54dc4d4ca7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8e3e5-ca03-493c-9bcc-7ade018e378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abfc88-7081-444a-bdd2-28e0e385b19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29c085-397f-4914-a212-54dc4d4ca7df" xsi:nil="true"/>
    <lcf76f155ced4ddcb4097134ff3c332f xmlns="5728e3e5-ca03-493c-9bcc-7ade018e378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7ADE-7065-45B9-B2C5-A1DCC8B06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9c085-397f-4914-a212-54dc4d4ca7df"/>
    <ds:schemaRef ds:uri="5728e3e5-ca03-493c-9bcc-7ade018e3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929BF-7DA0-40FA-81EF-54F88A5CFC82}">
  <ds:schemaRefs>
    <ds:schemaRef ds:uri="http://schemas.microsoft.com/sharepoint/v3/contenttype/forms"/>
  </ds:schemaRefs>
</ds:datastoreItem>
</file>

<file path=customXml/itemProps3.xml><?xml version="1.0" encoding="utf-8"?>
<ds:datastoreItem xmlns:ds="http://schemas.openxmlformats.org/officeDocument/2006/customXml" ds:itemID="{568893DF-0B68-4070-AB63-6F2C0FEEC798}">
  <ds:schemaRefs>
    <ds:schemaRef ds:uri="http://schemas.microsoft.com/office/2006/metadata/properties"/>
    <ds:schemaRef ds:uri="http://schemas.microsoft.com/office/infopath/2007/PartnerControls"/>
    <ds:schemaRef ds:uri="1e29c085-397f-4914-a212-54dc4d4ca7df"/>
    <ds:schemaRef ds:uri="5728e3e5-ca03-493c-9bcc-7ade018e3784"/>
  </ds:schemaRefs>
</ds:datastoreItem>
</file>

<file path=customXml/itemProps4.xml><?xml version="1.0" encoding="utf-8"?>
<ds:datastoreItem xmlns:ds="http://schemas.openxmlformats.org/officeDocument/2006/customXml" ds:itemID="{FC65C184-FBD2-4301-8B0B-AC97A863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5886</Characters>
  <Application>Microsoft Office Word</Application>
  <DocSecurity>0</DocSecurity>
  <Lines>150</Lines>
  <Paragraphs>67</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Tulloch</dc:creator>
  <cp:keywords/>
  <dc:description/>
  <cp:lastModifiedBy>Julie Kennedy</cp:lastModifiedBy>
  <cp:revision>5</cp:revision>
  <dcterms:created xsi:type="dcterms:W3CDTF">2026-07-21T14:36:00Z</dcterms:created>
  <dcterms:modified xsi:type="dcterms:W3CDTF">2026-07-23T10:07:00Z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0x010100D691E75438E086458EC68A1E60771D1A</vt:lpwstr>
  </property>
  <property fmtid="{D5CDD505-2E9C-101B-9397-08002B2CF9AE}" pid="3" name="MediaServiceImageTags">
    <vt:lpwstr/>
  </property>
</Properties>
</file>